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E5" w:rsidRPr="00CE59E5" w:rsidRDefault="00CE59E5" w:rsidP="00CE59E5">
      <w:pPr>
        <w:spacing w:after="0" w:line="240" w:lineRule="auto"/>
        <w:jc w:val="center"/>
        <w:rPr>
          <w:rFonts w:ascii="Arial" w:eastAsia="Times New Roman" w:hAnsi="Arial" w:cs="Arial"/>
          <w:iCs/>
          <w:color w:val="333399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noProof/>
          <w:color w:val="333399"/>
          <w:sz w:val="20"/>
          <w:szCs w:val="20"/>
          <w:lang w:eastAsia="en-GB"/>
        </w:rPr>
        <w:drawing>
          <wp:inline distT="0" distB="0" distL="0" distR="0">
            <wp:extent cx="5713095" cy="570230"/>
            <wp:effectExtent l="0" t="0" r="1905" b="1270"/>
            <wp:docPr id="1" name="Picture 1" descr="FF NED logo on on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 NED logo on one 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E5" w:rsidRPr="00CE59E5" w:rsidRDefault="009B7F22" w:rsidP="00CE59E5">
      <w:pPr>
        <w:spacing w:after="0" w:line="240" w:lineRule="auto"/>
        <w:jc w:val="center"/>
        <w:rPr>
          <w:rFonts w:ascii="Verdana" w:eastAsia="Times New Roman" w:hAnsi="Verdana" w:cs="Arial"/>
          <w:color w:val="333399"/>
          <w:sz w:val="20"/>
          <w:szCs w:val="20"/>
        </w:rPr>
      </w:pPr>
      <w:hyperlink r:id="rId6" w:history="1">
        <w:r w:rsidR="001047AC">
          <w:rPr>
            <w:rFonts w:ascii="Verdana" w:eastAsia="Times New Roman" w:hAnsi="Verdana" w:cs="Arial"/>
            <w:color w:val="333399"/>
            <w:sz w:val="20"/>
            <w:szCs w:val="20"/>
            <w:u w:val="single"/>
          </w:rPr>
          <w:t>www.NonExec</w:t>
        </w:r>
        <w:r w:rsidR="00CE59E5" w:rsidRPr="00CE59E5">
          <w:rPr>
            <w:rFonts w:ascii="Verdana" w:eastAsia="Times New Roman" w:hAnsi="Verdana" w:cs="Arial"/>
            <w:color w:val="333399"/>
            <w:sz w:val="20"/>
            <w:szCs w:val="20"/>
            <w:u w:val="single"/>
          </w:rPr>
          <w:t>Director.co.uk</w:t>
        </w:r>
      </w:hyperlink>
    </w:p>
    <w:p w:rsidR="00CE59E5" w:rsidRPr="00CE59E5" w:rsidRDefault="00CE59E5" w:rsidP="00CE59E5">
      <w:pPr>
        <w:spacing w:after="0" w:line="240" w:lineRule="auto"/>
        <w:jc w:val="center"/>
        <w:rPr>
          <w:rFonts w:ascii="Verdana" w:eastAsia="Times New Roman" w:hAnsi="Verdana" w:cs="Arial"/>
          <w:color w:val="000080"/>
          <w:sz w:val="20"/>
          <w:szCs w:val="20"/>
        </w:rPr>
      </w:pPr>
      <w:r w:rsidRPr="00CE59E5">
        <w:rPr>
          <w:rFonts w:ascii="Verdana" w:eastAsia="Times New Roman" w:hAnsi="Verdana" w:cs="Arial"/>
          <w:color w:val="000080"/>
          <w:sz w:val="20"/>
          <w:szCs w:val="20"/>
        </w:rPr>
        <w:t xml:space="preserve"> </w:t>
      </w:r>
    </w:p>
    <w:p w:rsidR="00FE4A0A" w:rsidRPr="00CE59E5" w:rsidRDefault="00CE59E5" w:rsidP="00FE4A0A">
      <w:pPr>
        <w:rPr>
          <w:rFonts w:ascii="Verdana" w:hAnsi="Verdana" w:cs="Times New Roman"/>
          <w:b/>
          <w:sz w:val="20"/>
          <w:szCs w:val="20"/>
        </w:rPr>
      </w:pPr>
      <w:r w:rsidRPr="00CE59E5">
        <w:rPr>
          <w:rFonts w:ascii="Verdana" w:hAnsi="Verdana" w:cs="Times New Roman"/>
          <w:b/>
          <w:sz w:val="20"/>
          <w:szCs w:val="20"/>
        </w:rPr>
        <w:t>Taxman targets Non-Executive Directors</w:t>
      </w:r>
      <w:r w:rsidR="00FE4A0A" w:rsidRPr="00CE59E5">
        <w:rPr>
          <w:rFonts w:ascii="Verdana" w:hAnsi="Verdana" w:cs="Times New Roman"/>
          <w:b/>
          <w:sz w:val="20"/>
          <w:szCs w:val="20"/>
        </w:rPr>
        <w:t xml:space="preserve"> pay and personal service companies</w:t>
      </w:r>
      <w:r w:rsidR="00A169AE">
        <w:rPr>
          <w:rFonts w:ascii="Verdana" w:hAnsi="Verdana" w:cs="Times New Roman"/>
          <w:b/>
          <w:sz w:val="20"/>
          <w:szCs w:val="20"/>
        </w:rPr>
        <w:t xml:space="preserve"> – 11/11/13</w:t>
      </w:r>
      <w:r w:rsidR="00FE4A0A" w:rsidRPr="00CE59E5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FE4A0A" w:rsidRPr="00CE59E5" w:rsidRDefault="00FE4A0A" w:rsidP="00CE59E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CE59E5">
        <w:rPr>
          <w:rFonts w:ascii="Verdana" w:hAnsi="Verdana" w:cs="Times New Roman"/>
          <w:sz w:val="20"/>
          <w:szCs w:val="20"/>
        </w:rPr>
        <w:t>In its on-going battle to close the ‘tax gap’ HMRC has tightened the rules and its guidance on</w:t>
      </w:r>
      <w:r w:rsidR="00CE59E5" w:rsidRPr="00CE59E5">
        <w:rPr>
          <w:rFonts w:ascii="Verdana" w:hAnsi="Verdana" w:cs="Times New Roman"/>
          <w:sz w:val="20"/>
          <w:szCs w:val="20"/>
        </w:rPr>
        <w:t xml:space="preserve"> the taxation of executive and Non-E</w:t>
      </w:r>
      <w:r w:rsidRPr="00CE59E5">
        <w:rPr>
          <w:rFonts w:ascii="Verdana" w:hAnsi="Verdana" w:cs="Times New Roman"/>
          <w:sz w:val="20"/>
          <w:szCs w:val="20"/>
        </w:rPr>
        <w:t>xecutive pay. In p</w:t>
      </w:r>
      <w:r w:rsidR="00CE59E5" w:rsidRPr="00CE59E5">
        <w:rPr>
          <w:rFonts w:ascii="Verdana" w:hAnsi="Verdana" w:cs="Times New Roman"/>
          <w:sz w:val="20"/>
          <w:szCs w:val="20"/>
        </w:rPr>
        <w:t>articular the tax treatment of Non-Executive Directors</w:t>
      </w:r>
      <w:r w:rsidRPr="00CE59E5">
        <w:rPr>
          <w:rFonts w:ascii="Verdana" w:hAnsi="Verdana" w:cs="Times New Roman"/>
          <w:sz w:val="20"/>
          <w:szCs w:val="20"/>
        </w:rPr>
        <w:t xml:space="preserve"> may prove to be a problematic </w:t>
      </w:r>
      <w:r w:rsidR="0092384E" w:rsidRPr="00CE59E5">
        <w:rPr>
          <w:rFonts w:ascii="Verdana" w:hAnsi="Verdana" w:cs="Times New Roman"/>
          <w:sz w:val="20"/>
          <w:szCs w:val="20"/>
        </w:rPr>
        <w:t xml:space="preserve">one </w:t>
      </w:r>
      <w:r w:rsidRPr="00CE59E5">
        <w:rPr>
          <w:rFonts w:ascii="Verdana" w:hAnsi="Verdana" w:cs="Times New Roman"/>
          <w:sz w:val="20"/>
          <w:szCs w:val="20"/>
        </w:rPr>
        <w:t>for businesses.</w:t>
      </w:r>
      <w:bookmarkStart w:id="0" w:name="_GoBack"/>
      <w:bookmarkEnd w:id="0"/>
    </w:p>
    <w:p w:rsidR="00FE4A0A" w:rsidRPr="00CE59E5" w:rsidRDefault="00FE4A0A" w:rsidP="00CE59E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CE59E5">
        <w:rPr>
          <w:rFonts w:ascii="Verdana" w:hAnsi="Verdana" w:cs="Times New Roman"/>
          <w:sz w:val="20"/>
          <w:szCs w:val="20"/>
        </w:rPr>
        <w:t xml:space="preserve">In recent years it has become increasingly common practice for </w:t>
      </w:r>
      <w:r w:rsidR="00CE59E5" w:rsidRPr="00CE59E5">
        <w:rPr>
          <w:rFonts w:ascii="Verdana" w:hAnsi="Verdana" w:cs="Times New Roman"/>
          <w:sz w:val="20"/>
          <w:szCs w:val="20"/>
        </w:rPr>
        <w:t>Non-Executive Directors</w:t>
      </w:r>
      <w:r w:rsidRPr="00CE59E5">
        <w:rPr>
          <w:rFonts w:ascii="Verdana" w:hAnsi="Verdana" w:cs="Times New Roman"/>
          <w:sz w:val="20"/>
          <w:szCs w:val="20"/>
        </w:rPr>
        <w:t xml:space="preserve"> to invoice their director</w:t>
      </w:r>
      <w:r w:rsidR="0092384E" w:rsidRPr="00CE59E5">
        <w:rPr>
          <w:rFonts w:ascii="Verdana" w:hAnsi="Verdana" w:cs="Times New Roman"/>
          <w:sz w:val="20"/>
          <w:szCs w:val="20"/>
        </w:rPr>
        <w:t>’</w:t>
      </w:r>
      <w:r w:rsidRPr="00CE59E5">
        <w:rPr>
          <w:rFonts w:ascii="Verdana" w:hAnsi="Verdana" w:cs="Times New Roman"/>
          <w:sz w:val="20"/>
          <w:szCs w:val="20"/>
        </w:rPr>
        <w:t xml:space="preserve">s fees via a Personal Service Company (PSC). </w:t>
      </w:r>
      <w:r w:rsidR="0092384E" w:rsidRPr="00CE59E5">
        <w:rPr>
          <w:rFonts w:ascii="Verdana" w:hAnsi="Verdana" w:cs="Times New Roman"/>
          <w:sz w:val="20"/>
          <w:szCs w:val="20"/>
        </w:rPr>
        <w:t xml:space="preserve"> While this practice </w:t>
      </w:r>
      <w:r w:rsidRPr="00CE59E5">
        <w:rPr>
          <w:rFonts w:ascii="Verdana" w:hAnsi="Verdana" w:cs="Times New Roman"/>
          <w:sz w:val="20"/>
          <w:szCs w:val="20"/>
        </w:rPr>
        <w:t xml:space="preserve">can be </w:t>
      </w:r>
      <w:r w:rsidR="0092384E" w:rsidRPr="00CE59E5">
        <w:rPr>
          <w:rFonts w:ascii="Verdana" w:hAnsi="Verdana" w:cs="Times New Roman"/>
          <w:sz w:val="20"/>
          <w:szCs w:val="20"/>
        </w:rPr>
        <w:t>a</w:t>
      </w:r>
      <w:r w:rsidRPr="00CE59E5">
        <w:rPr>
          <w:rFonts w:ascii="Verdana" w:hAnsi="Verdana" w:cs="Times New Roman"/>
          <w:sz w:val="20"/>
          <w:szCs w:val="20"/>
        </w:rPr>
        <w:t>dministratively useful, if they have</w:t>
      </w:r>
      <w:r w:rsidR="0092384E" w:rsidRPr="00CE59E5">
        <w:rPr>
          <w:rFonts w:ascii="Verdana" w:hAnsi="Verdana" w:cs="Times New Roman"/>
          <w:sz w:val="20"/>
          <w:szCs w:val="20"/>
        </w:rPr>
        <w:t xml:space="preserve"> a number of directorships, </w:t>
      </w:r>
      <w:r w:rsidRPr="00CE59E5">
        <w:rPr>
          <w:rFonts w:ascii="Verdana" w:hAnsi="Verdana" w:cs="Times New Roman"/>
          <w:sz w:val="20"/>
          <w:szCs w:val="20"/>
        </w:rPr>
        <w:t>it also tax driven</w:t>
      </w:r>
      <w:r w:rsidR="0092384E" w:rsidRPr="00CE59E5">
        <w:rPr>
          <w:rFonts w:ascii="Verdana" w:hAnsi="Verdana" w:cs="Times New Roman"/>
          <w:sz w:val="20"/>
          <w:szCs w:val="20"/>
        </w:rPr>
        <w:t>,</w:t>
      </w:r>
      <w:r w:rsidRPr="00CE59E5">
        <w:rPr>
          <w:rFonts w:ascii="Verdana" w:hAnsi="Verdana" w:cs="Times New Roman"/>
          <w:sz w:val="20"/>
          <w:szCs w:val="20"/>
        </w:rPr>
        <w:t xml:space="preserve"> as profits are taxed at lower corporate rates and then withdrawn as dividends.</w:t>
      </w:r>
    </w:p>
    <w:p w:rsidR="00FE4A0A" w:rsidRPr="00CE59E5" w:rsidRDefault="00FE4A0A" w:rsidP="00CE59E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CE59E5">
        <w:rPr>
          <w:rFonts w:ascii="Verdana" w:hAnsi="Verdana" w:cs="Times New Roman"/>
          <w:sz w:val="20"/>
          <w:szCs w:val="20"/>
        </w:rPr>
        <w:t>According to HMRC’s payment rules businesses should note that an individual who is a board member is classed as an “office holder” and is therefore liable to PAYE/NIC on remuneration for that role.</w:t>
      </w:r>
    </w:p>
    <w:p w:rsidR="0092384E" w:rsidRPr="00CE59E5" w:rsidRDefault="00FE4A0A" w:rsidP="00CE59E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CE59E5">
        <w:rPr>
          <w:rFonts w:ascii="Verdana" w:hAnsi="Verdana" w:cs="Times New Roman"/>
          <w:sz w:val="20"/>
          <w:szCs w:val="20"/>
        </w:rPr>
        <w:t xml:space="preserve">Even individuals who act as </w:t>
      </w:r>
      <w:r w:rsidR="00CE59E5" w:rsidRPr="00CE59E5">
        <w:rPr>
          <w:rFonts w:ascii="Verdana" w:hAnsi="Verdana" w:cs="Times New Roman"/>
          <w:sz w:val="20"/>
          <w:szCs w:val="20"/>
        </w:rPr>
        <w:t>Non-Executive Directors</w:t>
      </w:r>
      <w:r w:rsidRPr="00CE59E5">
        <w:rPr>
          <w:rFonts w:ascii="Verdana" w:hAnsi="Verdana" w:cs="Times New Roman"/>
          <w:sz w:val="20"/>
          <w:szCs w:val="20"/>
        </w:rPr>
        <w:t xml:space="preserve"> are “office holders” and cannot therefore provide their services in a self-employed capacity. </w:t>
      </w:r>
    </w:p>
    <w:p w:rsidR="00FE4A0A" w:rsidRPr="00CE59E5" w:rsidRDefault="00A169AE" w:rsidP="00CE59E5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Additionally </w:t>
      </w:r>
      <w:r w:rsidR="00FE4A0A" w:rsidRPr="00CE59E5">
        <w:rPr>
          <w:rFonts w:ascii="Verdana" w:hAnsi="Verdana" w:cs="Times New Roman"/>
          <w:sz w:val="20"/>
          <w:szCs w:val="20"/>
        </w:rPr>
        <w:t>any income a PSC receives from the holding of an office will fall under IR35 – potentially resulting in additional tax and NIC payable by the PSC.</w:t>
      </w:r>
    </w:p>
    <w:p w:rsidR="0092384E" w:rsidRPr="00CE59E5" w:rsidRDefault="0092384E" w:rsidP="00CE59E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CE59E5">
        <w:rPr>
          <w:rFonts w:ascii="Verdana" w:hAnsi="Verdana" w:cs="Times New Roman"/>
          <w:sz w:val="20"/>
          <w:szCs w:val="20"/>
        </w:rPr>
        <w:t xml:space="preserve">Businesses are therefore advised to examine their remuneration processes for </w:t>
      </w:r>
      <w:r w:rsidR="00CE59E5" w:rsidRPr="00CE59E5">
        <w:rPr>
          <w:rFonts w:ascii="Verdana" w:hAnsi="Verdana" w:cs="Times New Roman"/>
          <w:sz w:val="20"/>
          <w:szCs w:val="20"/>
        </w:rPr>
        <w:t>Non-Executive Directors</w:t>
      </w:r>
      <w:r w:rsidRPr="00CE59E5">
        <w:rPr>
          <w:rFonts w:ascii="Verdana" w:hAnsi="Verdana" w:cs="Times New Roman"/>
          <w:sz w:val="20"/>
          <w:szCs w:val="20"/>
        </w:rPr>
        <w:t xml:space="preserve"> and the use of PSCs.</w:t>
      </w:r>
    </w:p>
    <w:p w:rsidR="00FE4A0A" w:rsidRPr="00CE59E5" w:rsidRDefault="00FE4A0A" w:rsidP="00CE59E5">
      <w:pPr>
        <w:spacing w:line="240" w:lineRule="auto"/>
        <w:rPr>
          <w:rFonts w:ascii="Verdana" w:hAnsi="Verdana" w:cs="Times New Roman"/>
          <w:b/>
          <w:sz w:val="20"/>
          <w:szCs w:val="20"/>
        </w:rPr>
      </w:pPr>
      <w:r w:rsidRPr="00CE59E5">
        <w:rPr>
          <w:rFonts w:ascii="Verdana" w:hAnsi="Verdana" w:cs="Times New Roman"/>
          <w:b/>
          <w:sz w:val="20"/>
          <w:szCs w:val="20"/>
        </w:rPr>
        <w:t>Partners in a professional practice</w:t>
      </w:r>
    </w:p>
    <w:p w:rsidR="00FE4A0A" w:rsidRPr="00CE59E5" w:rsidRDefault="00FE4A0A" w:rsidP="00CE59E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CE59E5">
        <w:rPr>
          <w:rFonts w:ascii="Verdana" w:hAnsi="Verdana" w:cs="Times New Roman"/>
          <w:sz w:val="20"/>
          <w:szCs w:val="20"/>
        </w:rPr>
        <w:t xml:space="preserve">It is also a common misconception that fees paid to </w:t>
      </w:r>
      <w:r w:rsidR="00CE59E5" w:rsidRPr="00CE59E5">
        <w:rPr>
          <w:rFonts w:ascii="Verdana" w:hAnsi="Verdana" w:cs="Times New Roman"/>
          <w:sz w:val="20"/>
          <w:szCs w:val="20"/>
        </w:rPr>
        <w:t>Non-Executive Directors</w:t>
      </w:r>
      <w:r w:rsidRPr="00CE59E5">
        <w:rPr>
          <w:rFonts w:ascii="Verdana" w:hAnsi="Verdana" w:cs="Times New Roman"/>
          <w:sz w:val="20"/>
          <w:szCs w:val="20"/>
        </w:rPr>
        <w:t xml:space="preserve"> who are accountants and lawyers are not, in principle, within the PAYE &amp; NICs provisions. The default position is </w:t>
      </w:r>
      <w:r w:rsidR="00EA0746" w:rsidRPr="00CE59E5">
        <w:rPr>
          <w:rFonts w:ascii="Verdana" w:hAnsi="Verdana" w:cs="Times New Roman"/>
          <w:sz w:val="20"/>
          <w:szCs w:val="20"/>
        </w:rPr>
        <w:t xml:space="preserve">that </w:t>
      </w:r>
      <w:r w:rsidRPr="00CE59E5">
        <w:rPr>
          <w:rFonts w:ascii="Verdana" w:hAnsi="Verdana" w:cs="Times New Roman"/>
          <w:sz w:val="20"/>
          <w:szCs w:val="20"/>
        </w:rPr>
        <w:t>they are within the scope to PAYE.</w:t>
      </w:r>
    </w:p>
    <w:p w:rsidR="00FE4A0A" w:rsidRPr="00CE59E5" w:rsidRDefault="00FE4A0A" w:rsidP="00CE59E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CE59E5">
        <w:rPr>
          <w:rFonts w:ascii="Verdana" w:hAnsi="Verdana" w:cs="Times New Roman"/>
          <w:sz w:val="20"/>
          <w:szCs w:val="20"/>
        </w:rPr>
        <w:t>There is however a ‘get out of jail card</w:t>
      </w:r>
      <w:r w:rsidR="00CE59E5" w:rsidRPr="00CE59E5">
        <w:rPr>
          <w:rFonts w:ascii="Verdana" w:hAnsi="Verdana" w:cs="Times New Roman"/>
          <w:sz w:val="20"/>
          <w:szCs w:val="20"/>
        </w:rPr>
        <w:t>’</w:t>
      </w:r>
      <w:r w:rsidRPr="00CE59E5">
        <w:rPr>
          <w:rFonts w:ascii="Verdana" w:hAnsi="Verdana" w:cs="Times New Roman"/>
          <w:sz w:val="20"/>
          <w:szCs w:val="20"/>
        </w:rPr>
        <w:t>,</w:t>
      </w:r>
      <w:r w:rsidR="00CE59E5" w:rsidRPr="00CE59E5">
        <w:rPr>
          <w:rFonts w:ascii="Verdana" w:hAnsi="Verdana" w:cs="Times New Roman"/>
          <w:sz w:val="20"/>
          <w:szCs w:val="20"/>
        </w:rPr>
        <w:t xml:space="preserve"> </w:t>
      </w:r>
      <w:r w:rsidRPr="00CE59E5">
        <w:rPr>
          <w:rFonts w:ascii="Verdana" w:hAnsi="Verdana" w:cs="Times New Roman"/>
          <w:sz w:val="20"/>
          <w:szCs w:val="20"/>
        </w:rPr>
        <w:t>in the form o</w:t>
      </w:r>
      <w:r w:rsidR="00CE59E5" w:rsidRPr="00CE59E5">
        <w:rPr>
          <w:rFonts w:ascii="Verdana" w:hAnsi="Verdana" w:cs="Times New Roman"/>
          <w:sz w:val="20"/>
          <w:szCs w:val="20"/>
        </w:rPr>
        <w:t>f an extra statutory concession</w:t>
      </w:r>
      <w:r w:rsidRPr="00CE59E5">
        <w:rPr>
          <w:rFonts w:ascii="Verdana" w:hAnsi="Verdana" w:cs="Times New Roman"/>
          <w:sz w:val="20"/>
          <w:szCs w:val="20"/>
        </w:rPr>
        <w:t>,</w:t>
      </w:r>
      <w:r w:rsidR="00CE59E5" w:rsidRPr="00CE59E5">
        <w:rPr>
          <w:rFonts w:ascii="Verdana" w:hAnsi="Verdana" w:cs="Times New Roman"/>
          <w:sz w:val="20"/>
          <w:szCs w:val="20"/>
        </w:rPr>
        <w:t xml:space="preserve"> </w:t>
      </w:r>
      <w:r w:rsidRPr="00CE59E5">
        <w:rPr>
          <w:rFonts w:ascii="Verdana" w:hAnsi="Verdana" w:cs="Times New Roman"/>
          <w:sz w:val="20"/>
          <w:szCs w:val="20"/>
        </w:rPr>
        <w:t>where a partner in a p</w:t>
      </w:r>
      <w:r w:rsidR="00CE59E5" w:rsidRPr="00CE59E5">
        <w:rPr>
          <w:rFonts w:ascii="Verdana" w:hAnsi="Verdana" w:cs="Times New Roman"/>
          <w:sz w:val="20"/>
          <w:szCs w:val="20"/>
        </w:rPr>
        <w:t>rofessional practice acts as a Non-Executive D</w:t>
      </w:r>
      <w:r w:rsidRPr="00CE59E5">
        <w:rPr>
          <w:rFonts w:ascii="Verdana" w:hAnsi="Verdana" w:cs="Times New Roman"/>
          <w:sz w:val="20"/>
          <w:szCs w:val="20"/>
        </w:rPr>
        <w:t>irector, his directors fees can be paid gross provided:</w:t>
      </w:r>
    </w:p>
    <w:p w:rsidR="00FE4A0A" w:rsidRPr="00CE59E5" w:rsidRDefault="00CE59E5" w:rsidP="00CE59E5">
      <w:pPr>
        <w:pStyle w:val="NoSpacing"/>
        <w:rPr>
          <w:rFonts w:ascii="Verdana" w:hAnsi="Verdana" w:cs="Times New Roman"/>
          <w:sz w:val="20"/>
          <w:szCs w:val="20"/>
        </w:rPr>
      </w:pPr>
      <w:r w:rsidRPr="00CE59E5">
        <w:rPr>
          <w:rFonts w:ascii="Verdana" w:hAnsi="Verdana" w:cs="Times New Roman"/>
          <w:sz w:val="20"/>
          <w:szCs w:val="20"/>
        </w:rPr>
        <w:t xml:space="preserve">• </w:t>
      </w:r>
      <w:proofErr w:type="gramStart"/>
      <w:r w:rsidRPr="00CE59E5">
        <w:rPr>
          <w:rFonts w:ascii="Verdana" w:hAnsi="Verdana" w:cs="Times New Roman"/>
          <w:sz w:val="20"/>
          <w:szCs w:val="20"/>
        </w:rPr>
        <w:t>i</w:t>
      </w:r>
      <w:r w:rsidR="00FE4A0A" w:rsidRPr="00CE59E5">
        <w:rPr>
          <w:rFonts w:ascii="Verdana" w:hAnsi="Verdana" w:cs="Times New Roman"/>
          <w:sz w:val="20"/>
          <w:szCs w:val="20"/>
        </w:rPr>
        <w:t>t</w:t>
      </w:r>
      <w:proofErr w:type="gramEnd"/>
      <w:r w:rsidR="00FE4A0A" w:rsidRPr="00CE59E5">
        <w:rPr>
          <w:rFonts w:ascii="Verdana" w:hAnsi="Verdana" w:cs="Times New Roman"/>
          <w:sz w:val="20"/>
          <w:szCs w:val="20"/>
        </w:rPr>
        <w:t xml:space="preserve"> is part of the firm's normal business to provide the services of its partners </w:t>
      </w:r>
      <w:r w:rsidRPr="00CE59E5">
        <w:rPr>
          <w:rFonts w:ascii="Verdana" w:hAnsi="Verdana" w:cs="Times New Roman"/>
          <w:sz w:val="20"/>
          <w:szCs w:val="20"/>
        </w:rPr>
        <w:t>as D</w:t>
      </w:r>
      <w:r w:rsidR="00FE4A0A" w:rsidRPr="00CE59E5">
        <w:rPr>
          <w:rFonts w:ascii="Verdana" w:hAnsi="Verdana" w:cs="Times New Roman"/>
          <w:sz w:val="20"/>
          <w:szCs w:val="20"/>
        </w:rPr>
        <w:t>irectors</w:t>
      </w:r>
    </w:p>
    <w:p w:rsidR="00FE4A0A" w:rsidRPr="00CE59E5" w:rsidRDefault="00FE4A0A" w:rsidP="00CE59E5">
      <w:pPr>
        <w:pStyle w:val="NoSpacing"/>
        <w:rPr>
          <w:rFonts w:ascii="Verdana" w:hAnsi="Verdana" w:cs="Times New Roman"/>
          <w:sz w:val="20"/>
          <w:szCs w:val="20"/>
        </w:rPr>
      </w:pPr>
      <w:r w:rsidRPr="00CE59E5">
        <w:rPr>
          <w:rFonts w:ascii="Verdana" w:hAnsi="Verdana" w:cs="Times New Roman"/>
          <w:sz w:val="20"/>
          <w:szCs w:val="20"/>
        </w:rPr>
        <w:t xml:space="preserve">• </w:t>
      </w:r>
      <w:proofErr w:type="gramStart"/>
      <w:r w:rsidRPr="00CE59E5">
        <w:rPr>
          <w:rFonts w:ascii="Verdana" w:hAnsi="Verdana" w:cs="Times New Roman"/>
          <w:sz w:val="20"/>
          <w:szCs w:val="20"/>
        </w:rPr>
        <w:t>the</w:t>
      </w:r>
      <w:proofErr w:type="gramEnd"/>
      <w:r w:rsidRPr="00CE59E5">
        <w:rPr>
          <w:rFonts w:ascii="Verdana" w:hAnsi="Verdana" w:cs="Times New Roman"/>
          <w:sz w:val="20"/>
          <w:szCs w:val="20"/>
        </w:rPr>
        <w:t xml:space="preserve"> fees are small in relation to the profits and </w:t>
      </w:r>
    </w:p>
    <w:p w:rsidR="00FE4A0A" w:rsidRPr="00CE59E5" w:rsidRDefault="00FE4A0A" w:rsidP="00CE59E5">
      <w:pPr>
        <w:pStyle w:val="NoSpacing"/>
        <w:rPr>
          <w:rFonts w:ascii="Verdana" w:hAnsi="Verdana" w:cs="Times New Roman"/>
          <w:sz w:val="20"/>
          <w:szCs w:val="20"/>
        </w:rPr>
      </w:pPr>
      <w:r w:rsidRPr="00CE59E5">
        <w:rPr>
          <w:rFonts w:ascii="Verdana" w:hAnsi="Verdana" w:cs="Times New Roman"/>
          <w:sz w:val="20"/>
          <w:szCs w:val="20"/>
        </w:rPr>
        <w:t xml:space="preserve">• </w:t>
      </w:r>
      <w:proofErr w:type="gramStart"/>
      <w:r w:rsidRPr="00CE59E5">
        <w:rPr>
          <w:rFonts w:ascii="Verdana" w:hAnsi="Verdana" w:cs="Times New Roman"/>
          <w:sz w:val="20"/>
          <w:szCs w:val="20"/>
        </w:rPr>
        <w:t>the</w:t>
      </w:r>
      <w:proofErr w:type="gramEnd"/>
      <w:r w:rsidRPr="00CE59E5">
        <w:rPr>
          <w:rFonts w:ascii="Verdana" w:hAnsi="Verdana" w:cs="Times New Roman"/>
          <w:sz w:val="20"/>
          <w:szCs w:val="20"/>
        </w:rPr>
        <w:t xml:space="preserve"> fees form part of the total profits of the partners</w:t>
      </w:r>
      <w:r w:rsidR="00A169AE">
        <w:rPr>
          <w:rFonts w:ascii="Verdana" w:hAnsi="Verdana" w:cs="Times New Roman"/>
          <w:sz w:val="20"/>
          <w:szCs w:val="20"/>
        </w:rPr>
        <w:t xml:space="preserve">hip and are pooled </w:t>
      </w:r>
      <w:r w:rsidRPr="00CE59E5">
        <w:rPr>
          <w:rFonts w:ascii="Verdana" w:hAnsi="Verdana" w:cs="Times New Roman"/>
          <w:sz w:val="20"/>
          <w:szCs w:val="20"/>
        </w:rPr>
        <w:t>among all partners.</w:t>
      </w:r>
      <w:r w:rsidRPr="00CE59E5">
        <w:rPr>
          <w:rFonts w:ascii="Verdana" w:hAnsi="Verdana" w:cs="Times New Roman"/>
          <w:sz w:val="20"/>
          <w:szCs w:val="20"/>
        </w:rPr>
        <w:br/>
      </w:r>
    </w:p>
    <w:p w:rsidR="00FE4A0A" w:rsidRPr="00CE59E5" w:rsidRDefault="00FE4A0A" w:rsidP="00CE59E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CE59E5">
        <w:rPr>
          <w:rFonts w:ascii="Verdana" w:hAnsi="Verdana" w:cs="Times New Roman"/>
          <w:sz w:val="20"/>
          <w:szCs w:val="20"/>
        </w:rPr>
        <w:t xml:space="preserve">Even in these circumstances it is advisable that companies wishing to pay fees gross to their </w:t>
      </w:r>
      <w:r w:rsidR="00CE59E5" w:rsidRPr="00CE59E5">
        <w:rPr>
          <w:rFonts w:ascii="Verdana" w:hAnsi="Verdana" w:cs="Times New Roman"/>
          <w:sz w:val="20"/>
          <w:szCs w:val="20"/>
        </w:rPr>
        <w:t>Non-Executive Directors</w:t>
      </w:r>
      <w:r w:rsidRPr="00CE59E5">
        <w:rPr>
          <w:rFonts w:ascii="Verdana" w:hAnsi="Verdana" w:cs="Times New Roman"/>
          <w:sz w:val="20"/>
          <w:szCs w:val="20"/>
        </w:rPr>
        <w:t xml:space="preserve"> should first seek authorisation from their tax office.</w:t>
      </w:r>
    </w:p>
    <w:p w:rsidR="00FE4A0A" w:rsidRPr="00CE59E5" w:rsidRDefault="00FE4A0A" w:rsidP="00CE59E5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E59E5">
        <w:rPr>
          <w:rFonts w:ascii="Verdana" w:hAnsi="Verdana" w:cs="Times New Roman"/>
          <w:b/>
          <w:sz w:val="20"/>
          <w:szCs w:val="20"/>
        </w:rPr>
        <w:t>Also in the news</w:t>
      </w:r>
    </w:p>
    <w:p w:rsidR="00FE4A0A" w:rsidRPr="00CE59E5" w:rsidRDefault="00FE4A0A" w:rsidP="00CE59E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CE59E5">
        <w:rPr>
          <w:rFonts w:ascii="Verdana" w:hAnsi="Verdana" w:cs="Times New Roman"/>
          <w:sz w:val="20"/>
          <w:szCs w:val="20"/>
        </w:rPr>
        <w:t xml:space="preserve">The use of PCP’s by some of the BBC’s major presenters, such as Fiona Bruce &amp; Jeremy Paxman, is also back in the news. The BBC is reacting to mounting criticism of its payment arrangements, by taking steps to </w:t>
      </w:r>
      <w:r w:rsidR="0092384E" w:rsidRPr="00CE59E5">
        <w:rPr>
          <w:rFonts w:ascii="Verdana" w:hAnsi="Verdana" w:cs="Times New Roman"/>
          <w:sz w:val="20"/>
          <w:szCs w:val="20"/>
        </w:rPr>
        <w:t xml:space="preserve">try and </w:t>
      </w:r>
      <w:r w:rsidRPr="00CE59E5">
        <w:rPr>
          <w:rFonts w:ascii="Verdana" w:hAnsi="Verdana" w:cs="Times New Roman"/>
          <w:sz w:val="20"/>
          <w:szCs w:val="20"/>
        </w:rPr>
        <w:t xml:space="preserve">tax more freelancers at source rather than by making gross payments to their PCPs. Currently about 800 BBC contractors are paid through </w:t>
      </w:r>
      <w:r w:rsidR="0092384E" w:rsidRPr="00CE59E5">
        <w:rPr>
          <w:rFonts w:ascii="Verdana" w:hAnsi="Verdana" w:cs="Times New Roman"/>
          <w:sz w:val="20"/>
          <w:szCs w:val="20"/>
        </w:rPr>
        <w:t>their personal service c</w:t>
      </w:r>
      <w:r w:rsidRPr="00CE59E5">
        <w:rPr>
          <w:rFonts w:ascii="Verdana" w:hAnsi="Verdana" w:cs="Times New Roman"/>
          <w:sz w:val="20"/>
          <w:szCs w:val="20"/>
        </w:rPr>
        <w:t xml:space="preserve">ompanies. The BBC has </w:t>
      </w:r>
      <w:r w:rsidR="0092384E" w:rsidRPr="00CE59E5">
        <w:rPr>
          <w:rFonts w:ascii="Verdana" w:hAnsi="Verdana" w:cs="Times New Roman"/>
          <w:sz w:val="20"/>
          <w:szCs w:val="20"/>
        </w:rPr>
        <w:t>therefore just announced a review of current</w:t>
      </w:r>
      <w:r w:rsidRPr="00CE59E5">
        <w:rPr>
          <w:rFonts w:ascii="Verdana" w:hAnsi="Verdana" w:cs="Times New Roman"/>
          <w:sz w:val="20"/>
          <w:szCs w:val="20"/>
        </w:rPr>
        <w:t xml:space="preserve"> contracts as they come up for renewal, and testing how much editorial control it has over an individual's activities.  Anyone for whom this is a "significant" amount will be asked to join the payroll, instead of being paid through a PSC. Some of the BBC's biggest freelance stars could therefore be asked to join the payroll or leave the corporation………</w:t>
      </w:r>
    </w:p>
    <w:p w:rsidR="00CE59E5" w:rsidRPr="00CE59E5" w:rsidRDefault="00FE4A0A" w:rsidP="00CE59E5">
      <w:pPr>
        <w:pStyle w:val="NoSpacing"/>
        <w:rPr>
          <w:rFonts w:ascii="Verdana" w:hAnsi="Verdana"/>
          <w:sz w:val="20"/>
          <w:szCs w:val="20"/>
        </w:rPr>
      </w:pPr>
      <w:r w:rsidRPr="00CE59E5">
        <w:rPr>
          <w:rFonts w:ascii="Verdana" w:hAnsi="Verdana"/>
          <w:sz w:val="20"/>
          <w:szCs w:val="20"/>
        </w:rPr>
        <w:t xml:space="preserve">Stephen Fox </w:t>
      </w:r>
    </w:p>
    <w:p w:rsidR="00CF235E" w:rsidRPr="00CE59E5" w:rsidRDefault="00FE4A0A" w:rsidP="00CE59E5">
      <w:pPr>
        <w:pStyle w:val="NoSpacing"/>
        <w:rPr>
          <w:rFonts w:ascii="Verdana" w:hAnsi="Verdana"/>
          <w:sz w:val="20"/>
          <w:szCs w:val="20"/>
        </w:rPr>
      </w:pPr>
      <w:r w:rsidRPr="00CE59E5">
        <w:rPr>
          <w:rFonts w:ascii="Verdana" w:hAnsi="Verdana"/>
          <w:sz w:val="20"/>
          <w:szCs w:val="20"/>
        </w:rPr>
        <w:t>Sully Partnership</w:t>
      </w:r>
    </w:p>
    <w:p w:rsidR="00CE59E5" w:rsidRPr="00CE59E5" w:rsidRDefault="00CE59E5" w:rsidP="00CE59E5">
      <w:pPr>
        <w:pStyle w:val="NoSpacing"/>
        <w:rPr>
          <w:rFonts w:ascii="Verdana" w:hAnsi="Verdana"/>
          <w:sz w:val="20"/>
          <w:szCs w:val="20"/>
        </w:rPr>
      </w:pPr>
      <w:r w:rsidRPr="00CE59E5">
        <w:rPr>
          <w:rFonts w:ascii="Verdana" w:hAnsi="Verdana"/>
          <w:sz w:val="20"/>
          <w:szCs w:val="20"/>
        </w:rPr>
        <w:t xml:space="preserve">CHARTERED ACCOUNTANTS </w:t>
      </w:r>
      <w:r w:rsidRPr="00CE59E5">
        <w:rPr>
          <w:rFonts w:ascii="Verdana" w:hAnsi="Verdana"/>
          <w:sz w:val="20"/>
          <w:szCs w:val="20"/>
        </w:rPr>
        <w:br/>
        <w:t xml:space="preserve">Bristol </w:t>
      </w:r>
      <w:r w:rsidRPr="00CE59E5">
        <w:rPr>
          <w:rFonts w:ascii="Verdana" w:hAnsi="Verdana"/>
          <w:sz w:val="20"/>
          <w:szCs w:val="20"/>
        </w:rPr>
        <w:br/>
        <w:t xml:space="preserve">Tel:    0117 317 7000 </w:t>
      </w:r>
    </w:p>
    <w:p w:rsidR="00CE59E5" w:rsidRPr="00CE59E5" w:rsidRDefault="00CE59E5" w:rsidP="00CE59E5">
      <w:pPr>
        <w:pStyle w:val="NoSpacing"/>
        <w:rPr>
          <w:rFonts w:ascii="Verdana" w:hAnsi="Verdana"/>
          <w:sz w:val="20"/>
          <w:szCs w:val="20"/>
        </w:rPr>
      </w:pPr>
      <w:r w:rsidRPr="00CE59E5">
        <w:rPr>
          <w:rFonts w:ascii="Verdana" w:hAnsi="Verdana"/>
          <w:sz w:val="20"/>
          <w:szCs w:val="20"/>
        </w:rPr>
        <w:t>E-Mail: </w:t>
      </w:r>
      <w:hyperlink r:id="rId7" w:history="1">
        <w:r w:rsidRPr="00CE59E5">
          <w:rPr>
            <w:rStyle w:val="Hyperlink"/>
            <w:rFonts w:ascii="Verdana" w:hAnsi="Verdana"/>
            <w:sz w:val="20"/>
            <w:szCs w:val="20"/>
          </w:rPr>
          <w:t>Steve.Fox@sully.co.uk</w:t>
        </w:r>
      </w:hyperlink>
      <w:r w:rsidRPr="00CE59E5">
        <w:rPr>
          <w:rFonts w:ascii="Verdana" w:hAnsi="Verdana"/>
          <w:sz w:val="20"/>
          <w:szCs w:val="20"/>
        </w:rPr>
        <w:br/>
        <w:t xml:space="preserve">Web site: </w:t>
      </w:r>
      <w:hyperlink r:id="rId8" w:tooltip="http://www.sully.co.uk/" w:history="1">
        <w:r w:rsidRPr="00CE59E5">
          <w:rPr>
            <w:rStyle w:val="Hyperlink"/>
            <w:rFonts w:ascii="Verdana" w:hAnsi="Verdana"/>
            <w:sz w:val="20"/>
            <w:szCs w:val="20"/>
          </w:rPr>
          <w:t>www.sully.co.uk</w:t>
        </w:r>
      </w:hyperlink>
      <w:r w:rsidRPr="00CE59E5">
        <w:rPr>
          <w:rFonts w:ascii="Verdana" w:hAnsi="Verdana"/>
          <w:sz w:val="20"/>
          <w:szCs w:val="20"/>
        </w:rPr>
        <w:t xml:space="preserve"> </w:t>
      </w:r>
    </w:p>
    <w:p w:rsidR="00CE59E5" w:rsidRPr="00FE4A0A" w:rsidRDefault="00CE59E5" w:rsidP="00FE4A0A">
      <w:pPr>
        <w:pStyle w:val="NoSpacing"/>
        <w:rPr>
          <w:rFonts w:ascii="Times New Roman" w:hAnsi="Times New Roman" w:cs="Times New Roman"/>
        </w:rPr>
      </w:pPr>
    </w:p>
    <w:sectPr w:rsidR="00CE59E5" w:rsidRPr="00FE4A0A" w:rsidSect="00A16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0A"/>
    <w:rsid w:val="001047AC"/>
    <w:rsid w:val="00381F94"/>
    <w:rsid w:val="0092384E"/>
    <w:rsid w:val="009B7F22"/>
    <w:rsid w:val="00A169AE"/>
    <w:rsid w:val="00CE59E5"/>
    <w:rsid w:val="00CF235E"/>
    <w:rsid w:val="00EA0746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A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5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A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5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http://www.sully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.Fox@sully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nExecutiveDirector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family</dc:creator>
  <cp:lastModifiedBy>Melissa</cp:lastModifiedBy>
  <cp:revision>2</cp:revision>
  <dcterms:created xsi:type="dcterms:W3CDTF">2014-10-06T13:23:00Z</dcterms:created>
  <dcterms:modified xsi:type="dcterms:W3CDTF">2014-10-06T13:23:00Z</dcterms:modified>
</cp:coreProperties>
</file>